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767759455"/>
        <w:docPartObj>
          <w:docPartGallery w:val="Cover Pages"/>
          <w:docPartUnique/>
        </w:docPartObj>
      </w:sdtPr>
      <w:sdtEndPr>
        <w:rPr>
          <w:b w:val="0"/>
          <w:color w:val="00163B" w:themeColor="accent1"/>
          <w:sz w:val="26"/>
          <w:szCs w:val="26"/>
          <w:lang w:val="en-US"/>
        </w:rPr>
      </w:sdtEndPr>
      <w:sdtContent>
        <w:p w:rsidR="001A5F81" w:rsidRPr="0089007C" w:rsidRDefault="001A5F81">
          <w:pPr>
            <w:rPr>
              <w:b/>
            </w:rPr>
          </w:pPr>
        </w:p>
        <w:tbl>
          <w:tblPr>
            <w:tblpPr w:leftFromText="187" w:rightFromText="187" w:vertAnchor="page" w:horzAnchor="margin" w:tblpXSpec="right" w:tblpY="3256"/>
            <w:tblW w:w="0" w:type="auto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9638"/>
          </w:tblGrid>
          <w:tr w:rsidR="0012244F" w:rsidTr="0012244F">
            <w:tc>
              <w:tcPr>
                <w:tcW w:w="0" w:type="auto"/>
                <w:tcBorders>
                  <w:bottom w:val="single" w:sz="4" w:space="0" w:color="00163B"/>
                  <w:right w:val="single" w:sz="4" w:space="0" w:color="00163B"/>
                </w:tcBorders>
                <w:vAlign w:val="bottom"/>
              </w:tcPr>
              <w:p w:rsidR="0012244F" w:rsidRDefault="00F04273" w:rsidP="00B613DA">
                <w:pPr>
                  <w:pStyle w:val="Ingenafstand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Style w:val="TitelTegn"/>
                    </w:rPr>
                    <w:alias w:val="Titel"/>
                    <w:tag w:val="Titel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 w:multiLine="1"/>
                  </w:sdtPr>
                  <w:sdtEndPr>
                    <w:rPr>
                      <w:rStyle w:val="TitelTegn"/>
                    </w:rPr>
                  </w:sdtEndPr>
                  <w:sdtContent>
                    <w:r w:rsidR="00E7642F">
                      <w:rPr>
                        <w:rStyle w:val="TitelTegn"/>
                      </w:rPr>
                      <w:t>Valgfagskatalog</w:t>
                    </w:r>
                    <w:r w:rsidR="006A4F15">
                      <w:rPr>
                        <w:rStyle w:val="TitelTegn"/>
                      </w:rPr>
                      <w:t xml:space="preserve"> </w:t>
                    </w:r>
                    <w:r w:rsidR="00D72DB6">
                      <w:rPr>
                        <w:rStyle w:val="TitelTegn"/>
                      </w:rPr>
                      <w:t>Finansøkonom</w:t>
                    </w:r>
                    <w:r w:rsidR="00B613DA">
                      <w:rPr>
                        <w:rStyle w:val="TitelTegn"/>
                      </w:rPr>
                      <w:t xml:space="preserve"> efter</w:t>
                    </w:r>
                    <w:r w:rsidR="004D1D95">
                      <w:rPr>
                        <w:rStyle w:val="TitelTegn"/>
                      </w:rPr>
                      <w:t>år 2017</w:t>
                    </w:r>
                    <w:r>
                      <w:rPr>
                        <w:rStyle w:val="TitelTegn"/>
                      </w:rPr>
                      <w:t xml:space="preserve"> - Bornholm</w:t>
                    </w:r>
                  </w:sdtContent>
                </w:sdt>
              </w:p>
            </w:tc>
          </w:tr>
          <w:tr w:rsidR="0012244F" w:rsidTr="0012244F">
            <w:sdt>
              <w:sdtPr>
                <w:rPr>
                  <w:color w:val="00163B" w:themeColor="text1"/>
                </w:rPr>
                <w:alias w:val="Resume"/>
                <w:tag w:val="Resum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 w:multiLine="1"/>
              </w:sdtPr>
              <w:sdtEndPr/>
              <w:sdtContent>
                <w:tc>
                  <w:tcPr>
                    <w:tcW w:w="0" w:type="auto"/>
                    <w:tcBorders>
                      <w:top w:val="single" w:sz="4" w:space="0" w:color="00163B"/>
                      <w:bottom w:val="single" w:sz="4" w:space="0" w:color="00163B"/>
                    </w:tcBorders>
                    <w:vAlign w:val="center"/>
                  </w:tcPr>
                  <w:p w:rsidR="0012244F" w:rsidRDefault="00B82EFA" w:rsidP="00B82EFA">
                    <w:pPr>
                      <w:pStyle w:val="Ingenafstand"/>
                    </w:pPr>
                    <w:r w:rsidRPr="00B82EFA">
                      <w:rPr>
                        <w:color w:val="00163B" w:themeColor="text1"/>
                      </w:rPr>
                      <w:t>Finansøkonom, AK gældende bekendtgørelse.</w:t>
                    </w:r>
                    <w:r w:rsidRPr="00B82EFA">
                      <w:rPr>
                        <w:color w:val="00163B" w:themeColor="text1"/>
                      </w:rPr>
                      <w:br/>
                      <w:t xml:space="preserve">AP </w:t>
                    </w:r>
                    <w:proofErr w:type="spellStart"/>
                    <w:r w:rsidRPr="00B82EFA">
                      <w:rPr>
                        <w:color w:val="00163B" w:themeColor="text1"/>
                      </w:rPr>
                      <w:t>Graduate</w:t>
                    </w:r>
                    <w:proofErr w:type="spellEnd"/>
                    <w:r w:rsidRPr="00B82EFA">
                      <w:rPr>
                        <w:color w:val="00163B" w:themeColor="text1"/>
                      </w:rPr>
                      <w:t xml:space="preserve"> in Financial Management jf. gældende bekendtgørelse.</w:t>
                    </w:r>
                  </w:p>
                </w:tc>
              </w:sdtContent>
            </w:sdt>
          </w:tr>
          <w:tr w:rsidR="0012244F" w:rsidTr="0012244F">
            <w:tc>
              <w:tcPr>
                <w:tcW w:w="0" w:type="auto"/>
                <w:tcBorders>
                  <w:top w:val="single" w:sz="4" w:space="0" w:color="00163B"/>
                </w:tcBorders>
                <w:vAlign w:val="center"/>
              </w:tcPr>
              <w:p w:rsidR="0012244F" w:rsidRDefault="00E7642F" w:rsidP="004D1D95">
                <w:pPr>
                  <w:pStyle w:val="Ingenafstand"/>
                  <w:rPr>
                    <w:color w:val="00163B" w:themeColor="text1"/>
                  </w:rPr>
                </w:pPr>
                <w:r>
                  <w:rPr>
                    <w:color w:val="00163B" w:themeColor="text1"/>
                  </w:rPr>
                  <w:t>Bilag til studieordning for</w:t>
                </w:r>
                <w:r w:rsidR="00B956A4">
                  <w:rPr>
                    <w:color w:val="00163B" w:themeColor="text1"/>
                  </w:rPr>
                  <w:t xml:space="preserve"> </w:t>
                </w:r>
                <w:r w:rsidR="00B82EFA">
                  <w:rPr>
                    <w:color w:val="00163B" w:themeColor="text1"/>
                  </w:rPr>
                  <w:t>Finansøkonom</w:t>
                </w:r>
                <w:r w:rsidR="00B956A4">
                  <w:rPr>
                    <w:color w:val="00163B" w:themeColor="text1"/>
                  </w:rPr>
                  <w:t xml:space="preserve"> </w:t>
                </w:r>
                <w:r w:rsidR="004D1D95">
                  <w:rPr>
                    <w:color w:val="00163B" w:themeColor="text1"/>
                  </w:rPr>
                  <w:t>udarbejdet marts</w:t>
                </w:r>
                <w:r w:rsidR="00B82EFA">
                  <w:rPr>
                    <w:color w:val="00163B" w:themeColor="text1"/>
                  </w:rPr>
                  <w:t xml:space="preserve"> 2017.</w:t>
                </w:r>
              </w:p>
            </w:tc>
          </w:tr>
        </w:tbl>
        <w:p w:rsidR="001A5F81" w:rsidRPr="000B4070" w:rsidRDefault="000525ED">
          <w:pPr>
            <w:rPr>
              <w:rFonts w:asciiTheme="majorHAnsi" w:eastAsiaTheme="majorEastAsia" w:hAnsiTheme="majorHAnsi" w:cstheme="majorBidi"/>
              <w:b/>
              <w:bCs/>
              <w:color w:val="00163B" w:themeColor="accent1"/>
              <w:sz w:val="26"/>
              <w:szCs w:val="26"/>
            </w:rPr>
          </w:pPr>
          <w:r>
            <w:rPr>
              <w:noProof/>
              <w:color w:val="00163B" w:themeColor="accent1"/>
              <w:sz w:val="26"/>
              <w:szCs w:val="26"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38A4F9B8" wp14:editId="2C0CDCAA">
                <wp:simplePos x="0" y="0"/>
                <wp:positionH relativeFrom="column">
                  <wp:posOffset>3255010</wp:posOffset>
                </wp:positionH>
                <wp:positionV relativeFrom="paragraph">
                  <wp:posOffset>8199120</wp:posOffset>
                </wp:positionV>
                <wp:extent cx="3183255" cy="571500"/>
                <wp:effectExtent l="0" t="0" r="0" b="0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Hbusiness_Payoff_RGB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5F81" w:rsidRPr="009B0D20">
            <w:rPr>
              <w:color w:val="00163B" w:themeColor="accent1"/>
              <w:sz w:val="26"/>
              <w:szCs w:val="26"/>
            </w:rPr>
            <w:br w:type="page"/>
          </w:r>
        </w:p>
      </w:sdtContent>
    </w:sdt>
    <w:sdt>
      <w:sdtPr>
        <w:rPr>
          <w:rFonts w:ascii="Times New Roman" w:eastAsiaTheme="minorHAnsi" w:hAnsi="Times New Roman" w:cs="Times New Roman"/>
          <w:b/>
          <w:bCs w:val="0"/>
          <w:caps w:val="0"/>
          <w:color w:val="auto"/>
          <w:sz w:val="24"/>
          <w:szCs w:val="24"/>
          <w:lang w:eastAsia="en-US"/>
        </w:rPr>
        <w:id w:val="36911564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color w:val="00163B"/>
          <w:sz w:val="22"/>
          <w:szCs w:val="22"/>
        </w:rPr>
      </w:sdtEndPr>
      <w:sdtContent>
        <w:p w:rsidR="00C41455" w:rsidRPr="00BC5F1F" w:rsidRDefault="00C41455" w:rsidP="00C41455">
          <w:pPr>
            <w:pStyle w:val="Overskrift"/>
            <w:spacing w:before="0" w:line="288" w:lineRule="auto"/>
          </w:pPr>
          <w:r w:rsidRPr="00BC5F1F">
            <w:t>Indholdsfortegnelse</w:t>
          </w:r>
        </w:p>
        <w:p w:rsidR="00B82EFA" w:rsidRDefault="00C41455">
          <w:pPr>
            <w:pStyle w:val="Indholdsfortegnelse1"/>
            <w:tabs>
              <w:tab w:val="right" w:leader="underscore" w:pos="9628"/>
            </w:tabs>
            <w:rPr>
              <w:rFonts w:eastAsiaTheme="minorEastAsia"/>
              <w:noProof/>
              <w:color w:val="auto"/>
              <w:lang w:eastAsia="da-DK"/>
            </w:rPr>
          </w:pPr>
          <w:r>
            <w:rPr>
              <w:i/>
              <w:iCs/>
              <w:sz w:val="24"/>
              <w:szCs w:val="24"/>
            </w:rPr>
            <w:fldChar w:fldCharType="begin"/>
          </w:r>
          <w:r>
            <w:instrText xml:space="preserve"> TOC \o "1-2" \u </w:instrText>
          </w:r>
          <w:r>
            <w:rPr>
              <w:i/>
              <w:iCs/>
              <w:sz w:val="24"/>
              <w:szCs w:val="24"/>
            </w:rPr>
            <w:fldChar w:fldCharType="separate"/>
          </w:r>
          <w:r w:rsidR="00B82EFA">
            <w:rPr>
              <w:noProof/>
            </w:rPr>
            <w:t>1. Valgfagskatalogets rammer</w:t>
          </w:r>
          <w:r w:rsidR="00B82EFA">
            <w:rPr>
              <w:noProof/>
            </w:rPr>
            <w:tab/>
          </w:r>
          <w:r w:rsidR="00B82EFA">
            <w:rPr>
              <w:noProof/>
            </w:rPr>
            <w:fldChar w:fldCharType="begin"/>
          </w:r>
          <w:r w:rsidR="00B82EFA">
            <w:rPr>
              <w:noProof/>
            </w:rPr>
            <w:instrText xml:space="preserve"> PAGEREF _Toc477510218 \h </w:instrText>
          </w:r>
          <w:r w:rsidR="00B82EFA">
            <w:rPr>
              <w:noProof/>
            </w:rPr>
          </w:r>
          <w:r w:rsidR="00B82EFA">
            <w:rPr>
              <w:noProof/>
            </w:rPr>
            <w:fldChar w:fldCharType="separate"/>
          </w:r>
          <w:r w:rsidR="00B82EFA">
            <w:rPr>
              <w:noProof/>
            </w:rPr>
            <w:t>2</w:t>
          </w:r>
          <w:r w:rsidR="00B82EFA">
            <w:rPr>
              <w:noProof/>
            </w:rPr>
            <w:fldChar w:fldCharType="end"/>
          </w:r>
        </w:p>
        <w:p w:rsidR="00B82EFA" w:rsidRDefault="00B82EFA">
          <w:pPr>
            <w:pStyle w:val="Indholdsfortegnelse2"/>
            <w:tabs>
              <w:tab w:val="right" w:leader="underscore" w:pos="9628"/>
            </w:tabs>
            <w:rPr>
              <w:rFonts w:eastAsiaTheme="minorEastAsia"/>
              <w:noProof/>
              <w:color w:val="auto"/>
              <w:lang w:eastAsia="da-DK"/>
            </w:rPr>
          </w:pPr>
          <w:r>
            <w:rPr>
              <w:noProof/>
            </w:rPr>
            <w:t>1.1. Valgfrie uddannelseselementer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_Toc477510219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41455" w:rsidRDefault="00C41455" w:rsidP="00C41455">
          <w:pPr>
            <w:spacing w:after="0" w:line="288" w:lineRule="auto"/>
            <w:outlineLvl w:val="1"/>
          </w:pPr>
          <w:r>
            <w:rPr>
              <w:b/>
              <w:bCs/>
            </w:rPr>
            <w:fldChar w:fldCharType="end"/>
          </w:r>
        </w:p>
      </w:sdtContent>
    </w:sdt>
    <w:p w:rsidR="00C41455" w:rsidRDefault="00C41455" w:rsidP="00C41455">
      <w:pPr>
        <w:spacing w:after="0" w:line="288" w:lineRule="auto"/>
        <w:outlineLvl w:val="1"/>
      </w:pPr>
    </w:p>
    <w:p w:rsidR="00C41455" w:rsidRDefault="00C41455" w:rsidP="00C41455">
      <w:pPr>
        <w:spacing w:after="0" w:line="288" w:lineRule="auto"/>
        <w:outlineLvl w:val="1"/>
      </w:pPr>
      <w:r>
        <w:br w:type="page"/>
      </w:r>
    </w:p>
    <w:p w:rsidR="00C41455" w:rsidRDefault="00E7642F" w:rsidP="00C41455">
      <w:pPr>
        <w:pStyle w:val="Overskrift1"/>
        <w:keepNext w:val="0"/>
        <w:keepLines w:val="0"/>
        <w:numPr>
          <w:ilvl w:val="0"/>
          <w:numId w:val="2"/>
        </w:numPr>
        <w:spacing w:before="0" w:after="200"/>
      </w:pPr>
      <w:bookmarkStart w:id="0" w:name="_Toc477510218"/>
      <w:r>
        <w:lastRenderedPageBreak/>
        <w:t>Valgfag</w:t>
      </w:r>
      <w:r w:rsidR="002B5243">
        <w:t>skatalogets</w:t>
      </w:r>
      <w:r w:rsidR="00C41455" w:rsidRPr="00BC5F1F">
        <w:t xml:space="preserve"> rammer</w:t>
      </w:r>
      <w:bookmarkEnd w:id="0"/>
    </w:p>
    <w:p w:rsidR="00E7642F" w:rsidRDefault="00E7642F" w:rsidP="0012244F">
      <w:r>
        <w:t>Dette valgfagskatalog er et bilag til studieordningen for</w:t>
      </w:r>
      <w:r w:rsidR="004F1E70">
        <w:t xml:space="preserve"> finansøkonom AK</w:t>
      </w:r>
      <w:r>
        <w:t xml:space="preserve">, som er udarbejdet i henhold til </w:t>
      </w:r>
      <w:r w:rsidR="004F1E70">
        <w:t>BEK nr. 555 af 29/05/2013</w:t>
      </w:r>
      <w:r>
        <w:t xml:space="preserve">. </w:t>
      </w:r>
      <w:r w:rsidR="00B956A4">
        <w:t xml:space="preserve">Valgfagskataloget er </w:t>
      </w:r>
      <w:r w:rsidR="00641224">
        <w:t xml:space="preserve">en del af institutionsdelen i </w:t>
      </w:r>
      <w:r>
        <w:t xml:space="preserve">studieordningen. </w:t>
      </w:r>
    </w:p>
    <w:p w:rsidR="00B82EFA" w:rsidRDefault="00B82EFA" w:rsidP="0012244F"/>
    <w:p w:rsidR="00C41455" w:rsidRDefault="00E7642F" w:rsidP="00B4165C">
      <w:pPr>
        <w:pStyle w:val="Overskrift2"/>
        <w:keepNext w:val="0"/>
        <w:keepLines w:val="0"/>
        <w:numPr>
          <w:ilvl w:val="1"/>
          <w:numId w:val="9"/>
        </w:numPr>
        <w:spacing w:before="0" w:line="288" w:lineRule="auto"/>
        <w:ind w:left="0" w:firstLine="0"/>
      </w:pPr>
      <w:bookmarkStart w:id="1" w:name="_Toc477510219"/>
      <w:r>
        <w:t>Valgfrie</w:t>
      </w:r>
      <w:r w:rsidR="00C41455" w:rsidRPr="009103A4">
        <w:t xml:space="preserve"> uddannelseselementer</w:t>
      </w:r>
      <w:bookmarkEnd w:id="1"/>
    </w:p>
    <w:p w:rsidR="00D72DB6" w:rsidRDefault="00D72DB6" w:rsidP="00E71697">
      <w:pPr>
        <w:pStyle w:val="Listeafsnit"/>
        <w:ind w:left="0"/>
      </w:pPr>
    </w:p>
    <w:p w:rsidR="00E71697" w:rsidRDefault="00D72DB6" w:rsidP="00E71697">
      <w:pPr>
        <w:pStyle w:val="Listeafsnit"/>
        <w:ind w:left="0"/>
      </w:pPr>
      <w:r w:rsidRPr="00D72DB6">
        <w:t xml:space="preserve">På uddannelsens 3. semester er der et valgfrit uddannelseselement </w:t>
      </w:r>
      <w:r>
        <w:t>som består af studieaktiviteter</w:t>
      </w:r>
      <w:r w:rsidRPr="00A85875">
        <w:t xml:space="preserve"> </w:t>
      </w:r>
      <w:r w:rsidRPr="00D72DB6">
        <w:t xml:space="preserve">på </w:t>
      </w:r>
      <w:r w:rsidRPr="00D72DB6">
        <w:rPr>
          <w:b/>
        </w:rPr>
        <w:t>5 ECTS</w:t>
      </w:r>
      <w:r w:rsidRPr="00D72DB6">
        <w:t>. Valgfaget er obligatorisk for at fuldføre uddannelsen</w:t>
      </w:r>
      <w:r>
        <w:t>.</w:t>
      </w:r>
    </w:p>
    <w:p w:rsidR="00B82EFA" w:rsidRDefault="00B82EFA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DB6" w:rsidRPr="00AB7C8D" w:rsidTr="00F04273">
        <w:tc>
          <w:tcPr>
            <w:tcW w:w="9628" w:type="dxa"/>
            <w:shd w:val="clear" w:color="auto" w:fill="FFC000"/>
          </w:tcPr>
          <w:p w:rsidR="00D72DB6" w:rsidRPr="00703456" w:rsidRDefault="004F1E70" w:rsidP="00A07E6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Organisation og ledelse</w:t>
            </w:r>
          </w:p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color w:val="00163B" w:themeColor="accent1"/>
              </w:rPr>
            </w:pPr>
            <w:r>
              <w:rPr>
                <w:b/>
                <w:color w:val="00163B" w:themeColor="accent1"/>
              </w:rPr>
              <w:t>Tidsmæssig</w:t>
            </w:r>
            <w:r w:rsidRPr="00AB7C8D">
              <w:rPr>
                <w:b/>
                <w:color w:val="00163B" w:themeColor="accent1"/>
              </w:rPr>
              <w:t xml:space="preserve"> placering: </w:t>
            </w:r>
            <w:r w:rsidRPr="00D72DB6">
              <w:rPr>
                <w:color w:val="00163B" w:themeColor="accent1"/>
              </w:rPr>
              <w:t>3.</w:t>
            </w:r>
            <w:r>
              <w:rPr>
                <w:color w:val="00163B" w:themeColor="accent1"/>
              </w:rPr>
              <w:t xml:space="preserve"> </w:t>
            </w:r>
            <w:r w:rsidRPr="00AB7C8D">
              <w:rPr>
                <w:color w:val="00163B" w:themeColor="accent1"/>
              </w:rPr>
              <w:t>semester</w:t>
            </w:r>
            <w:r w:rsidRPr="00AB7C8D">
              <w:rPr>
                <w:b/>
                <w:color w:val="00163B" w:themeColor="accent1"/>
              </w:rPr>
              <w:t xml:space="preserve"> </w:t>
            </w: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>Omfang:</w:t>
            </w:r>
            <w:r>
              <w:rPr>
                <w:color w:val="00163B" w:themeColor="accent1"/>
              </w:rPr>
              <w:t xml:space="preserve"> 5</w:t>
            </w:r>
            <w:r w:rsidRPr="00AB7C8D">
              <w:rPr>
                <w:color w:val="00163B" w:themeColor="accent1"/>
              </w:rPr>
              <w:t xml:space="preserve"> ECTS</w:t>
            </w: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 xml:space="preserve">Indhold: </w:t>
            </w:r>
          </w:p>
          <w:p w:rsidR="004F1E70" w:rsidRPr="00F33EA8" w:rsidRDefault="004F1E70" w:rsidP="004F1E70">
            <w:p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At den studerende opnår indsigt i baggrunden for virksomhedens organisatoriske opbygning og den udøvelse af ledelse, enhver given virksomhed kendetegnes ved. Det er herunder afgørende, at den studerende bliver i stand til at analysere og vurdere en given virksomhed i et helhedsperspektiv. Det betyder bl.a. at være i stand til at forstå, hvilke forhold i virksomhedens omgivelser der typisk påvirker struktur og ledelsesform. Det betyder også at kunne afdække, hvilke virksomhedsinterne forhold i struktur, kultur og processer, der i særlig grad har betydning for virksomhedens aktuelle effektivitet og evne til at kunne agere i en foranderlig fremtid. Derfor er fortrolighed med begreber som innovation, forandringspres og forandringsledelse et vigtigt omdrejningspunkt i faget. </w:t>
            </w:r>
          </w:p>
          <w:p w:rsidR="004F1E70" w:rsidRPr="00F33EA8" w:rsidRDefault="004F1E70" w:rsidP="004F1E70">
            <w:p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På baggrund af indsigt i egne forudsætninger er det også målet at ruste den studerende bedst muligt til rollen som konstruktiv medarbejder med veludviklede horisontale og vertikale samarbejdsevner. Endelig skal deltagelse i faget sikre indsigt i personlige forudsætninger for evt. at påtage sig ledelsesopgaver i virksomheden og mulige konsekvenser heraf. </w:t>
            </w:r>
          </w:p>
          <w:p w:rsidR="00D72DB6" w:rsidRPr="00A75421" w:rsidRDefault="00D72DB6" w:rsidP="004F1E70">
            <w:pPr>
              <w:ind w:left="720"/>
              <w:rPr>
                <w:rFonts w:cs="Arial"/>
                <w:color w:val="000000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>Læringsmål:</w:t>
            </w:r>
          </w:p>
          <w:p w:rsidR="00D72DB6" w:rsidRPr="00AB7C8D" w:rsidRDefault="00D72DB6" w:rsidP="00A07E65">
            <w:pPr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Viden</w:t>
            </w:r>
          </w:p>
          <w:p w:rsidR="00D72DB6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har viden om: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Udviklingen i organisationsteorierne over tid og i forhold til samfundsudviklingen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De tre hovedperspektiver på organisationen: Struktur, kultur og processer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Det interne samspil mellem virksomhedens organisatoriske niveauer: Bestyrelse, ledelse, medarbejdere, grupper/teams, funktioner og afdelinger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Relevante strukturmodeller vedr. virksomhedens opbygning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Virksomhedskultur med fokus på udvikling af organisationens normer, værdier og symboler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Processer omkring de enkelte medarbejderes motivation, effektivitet og udvikling i jobbet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Organisering af arbejdet i team, individet i teamet, teamets struktur og dynamik (samspil og konflikter)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Relevante ledelsesteorier, baggrund, anvendelse og begrænsninger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Selvledelse, forudsætninger og begrænsninger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>Forandringsprocesser i en virksomhed og disses betydning for virksomhedens udvikling og medarbejdere, herunder sondringen mellem planlagte og akutte forandringer (</w:t>
            </w:r>
            <w:proofErr w:type="spellStart"/>
            <w:r w:rsidRPr="00F33EA8">
              <w:rPr>
                <w:rFonts w:cs="Lucida Sans"/>
                <w:color w:val="000000"/>
              </w:rPr>
              <w:t>turnarounds</w:t>
            </w:r>
            <w:proofErr w:type="spellEnd"/>
            <w:r w:rsidRPr="00F33EA8">
              <w:rPr>
                <w:rFonts w:cs="Lucida Sans"/>
                <w:color w:val="000000"/>
              </w:rPr>
              <w:t xml:space="preserve">)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Virksomhedens sociale ansvar – etik og CSR </w:t>
            </w:r>
          </w:p>
          <w:p w:rsidR="004F1E70" w:rsidRPr="00AB7C8D" w:rsidRDefault="004F1E70" w:rsidP="00A07E65">
            <w:pPr>
              <w:spacing w:line="276" w:lineRule="auto"/>
              <w:rPr>
                <w:color w:val="00163B" w:themeColor="accent1"/>
              </w:rPr>
            </w:pPr>
          </w:p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</w:p>
          <w:p w:rsidR="00D72DB6" w:rsidRPr="00AB7C8D" w:rsidRDefault="00D72DB6" w:rsidP="00A07E65">
            <w:pPr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Færdigheder</w:t>
            </w:r>
          </w:p>
          <w:p w:rsidR="00D72DB6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kan: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At kunne analysere virksomhedens nuværende situation og kommende udviklingsbehov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lastRenderedPageBreak/>
              <w:t xml:space="preserve">At kunne inddrage omverdenens analyse (aktuelle branche- og samfundstendenser) og vurdere, hvordan denne påvirker organisationens struktur, kultur og processer herunder ledelsesopgaverne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At kunne identificere baggrunden for den aktuelle lederstil og lederens handlinger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Lucida Sans"/>
                <w:color w:val="000000"/>
              </w:rPr>
            </w:pPr>
            <w:r w:rsidRPr="00F33EA8">
              <w:rPr>
                <w:rFonts w:cs="Lucida Sans"/>
                <w:color w:val="000000"/>
              </w:rPr>
              <w:t xml:space="preserve">At kunne identificere organisatoriske udviklingsstrategier og løsningsmodeller for en given virksomhed </w:t>
            </w:r>
            <w:proofErr w:type="gramStart"/>
            <w:r w:rsidRPr="00F33EA8">
              <w:rPr>
                <w:rFonts w:cs="Lucida Sans"/>
                <w:color w:val="000000"/>
              </w:rPr>
              <w:t>indenfor</w:t>
            </w:r>
            <w:proofErr w:type="gramEnd"/>
            <w:r w:rsidRPr="00F33EA8">
              <w:rPr>
                <w:rFonts w:cs="Lucida Sans"/>
                <w:color w:val="000000"/>
              </w:rPr>
              <w:t xml:space="preserve"> en afgrænset problemstilling </w:t>
            </w:r>
          </w:p>
          <w:p w:rsidR="00D72DB6" w:rsidRPr="00AB7C8D" w:rsidRDefault="004F1E70" w:rsidP="004F1E70">
            <w:pPr>
              <w:pStyle w:val="Listeafsnit"/>
              <w:numPr>
                <w:ilvl w:val="0"/>
                <w:numId w:val="21"/>
              </w:numPr>
              <w:rPr>
                <w:color w:val="00163B" w:themeColor="accent1"/>
              </w:rPr>
            </w:pPr>
            <w:r w:rsidRPr="00F33EA8">
              <w:rPr>
                <w:rFonts w:cs="Lucida Sans"/>
                <w:color w:val="000000"/>
              </w:rPr>
              <w:t>At kunne reflektere over egen rolle i teamprocesser, samarbejdsprocesser og egen trivsel i jobbet.</w:t>
            </w:r>
          </w:p>
          <w:p w:rsidR="00D72DB6" w:rsidRPr="00AB7C8D" w:rsidRDefault="00D72DB6" w:rsidP="00A07E65">
            <w:pPr>
              <w:spacing w:line="276" w:lineRule="auto"/>
              <w:rPr>
                <w:b/>
                <w:bCs/>
                <w:color w:val="00163B" w:themeColor="accent1"/>
              </w:rPr>
            </w:pPr>
            <w:r w:rsidRPr="00AB7C8D">
              <w:rPr>
                <w:b/>
                <w:bCs/>
                <w:color w:val="00163B" w:themeColor="accent1"/>
              </w:rPr>
              <w:t> </w:t>
            </w:r>
          </w:p>
          <w:p w:rsidR="00D72DB6" w:rsidRPr="00AB7C8D" w:rsidRDefault="00D72DB6" w:rsidP="00A07E65">
            <w:pPr>
              <w:tabs>
                <w:tab w:val="left" w:pos="2565"/>
              </w:tabs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Kompetencer</w:t>
            </w:r>
            <w:r w:rsidRPr="00AB7C8D">
              <w:rPr>
                <w:b/>
                <w:color w:val="00163B" w:themeColor="accent1"/>
              </w:rPr>
              <w:t> </w:t>
            </w:r>
            <w:r w:rsidRPr="00AB7C8D">
              <w:rPr>
                <w:b/>
                <w:color w:val="00163B" w:themeColor="accent1"/>
              </w:rPr>
              <w:tab/>
            </w:r>
          </w:p>
          <w:p w:rsidR="00D72DB6" w:rsidRPr="00AB7C8D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kan:</w:t>
            </w:r>
          </w:p>
          <w:p w:rsidR="004F1E70" w:rsidRPr="00F33EA8" w:rsidRDefault="00D72DB6" w:rsidP="004F1E70">
            <w:pPr>
              <w:pStyle w:val="Listeafsni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Lucida Sans"/>
              </w:rPr>
            </w:pPr>
            <w:r w:rsidRPr="00902F05">
              <w:rPr>
                <w:color w:val="00163B" w:themeColor="accent1"/>
              </w:rPr>
              <w:t xml:space="preserve"> </w:t>
            </w:r>
            <w:r w:rsidR="004F1E70" w:rsidRPr="00F33EA8">
              <w:rPr>
                <w:rFonts w:cs="Lucida Sans"/>
              </w:rPr>
              <w:t xml:space="preserve">At kunne agere situationsbestemt i virksomheden under skiftende forhold i omverdenen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Lucida Sans"/>
              </w:rPr>
            </w:pPr>
            <w:r w:rsidRPr="00F33EA8">
              <w:rPr>
                <w:rFonts w:cs="Lucida Sans"/>
              </w:rPr>
              <w:t xml:space="preserve">At kunne agere hensigtsmæssigt og udvise samarbejdsevne i teams eller arbejdsgrupper under påvirkning af virksomhedsinterne forhold som mulige forskelle i individuelle værdier og behovskonflikter i forhold til kolleger og ledelse. </w:t>
            </w:r>
          </w:p>
          <w:p w:rsidR="004F1E70" w:rsidRPr="00F33EA8" w:rsidRDefault="004F1E70" w:rsidP="004F1E70">
            <w:pPr>
              <w:pStyle w:val="Listeafsni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Lucida Sans"/>
              </w:rPr>
            </w:pPr>
            <w:r w:rsidRPr="00F33EA8">
              <w:rPr>
                <w:rFonts w:cs="Lucida Sans"/>
              </w:rPr>
              <w:t>At kunne handle ud fra virksomhedens gældende situation</w:t>
            </w:r>
            <w:r>
              <w:rPr>
                <w:rFonts w:cs="Lucida Sans"/>
              </w:rPr>
              <w:t xml:space="preserve"> internt og eksternt med en for</w:t>
            </w:r>
            <w:r w:rsidRPr="00F33EA8">
              <w:rPr>
                <w:rFonts w:cs="Lucida Sans"/>
              </w:rPr>
              <w:t>andringsparat indstilling</w:t>
            </w:r>
          </w:p>
          <w:p w:rsidR="00D72DB6" w:rsidRPr="00902F05" w:rsidRDefault="00D72DB6" w:rsidP="004F1E70">
            <w:pPr>
              <w:pStyle w:val="Listeafsnit"/>
              <w:numPr>
                <w:ilvl w:val="0"/>
                <w:numId w:val="21"/>
              </w:numPr>
              <w:rPr>
                <w:color w:val="00163B" w:themeColor="accent1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lastRenderedPageBreak/>
              <w:t>Udprøves:</w:t>
            </w:r>
          </w:p>
          <w:p w:rsidR="00D72DB6" w:rsidRPr="00AB7C8D" w:rsidRDefault="00D72DB6" w:rsidP="00A07E65">
            <w:pPr>
              <w:pStyle w:val="Listeafsnit"/>
              <w:numPr>
                <w:ilvl w:val="0"/>
                <w:numId w:val="19"/>
              </w:numPr>
              <w:spacing w:line="276" w:lineRule="auto"/>
              <w:ind w:left="993"/>
              <w:rPr>
                <w:color w:val="00163B" w:themeColor="accent1"/>
              </w:rPr>
            </w:pPr>
            <w:r>
              <w:rPr>
                <w:color w:val="00163B" w:themeColor="accent1"/>
              </w:rPr>
              <w:t xml:space="preserve">3. semester: </w:t>
            </w:r>
            <w:r w:rsidR="004F1E70">
              <w:rPr>
                <w:color w:val="00163B" w:themeColor="accent1"/>
              </w:rPr>
              <w:t xml:space="preserve">Mundtlig individuel eksamen. </w:t>
            </w:r>
            <w:r>
              <w:rPr>
                <w:color w:val="00163B" w:themeColor="accent1"/>
              </w:rPr>
              <w:t xml:space="preserve">Se eksamenskataloget. </w:t>
            </w:r>
          </w:p>
        </w:tc>
      </w:tr>
    </w:tbl>
    <w:p w:rsidR="00B82EFA" w:rsidRDefault="00B82EFA" w:rsidP="00D72DB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72DB6" w:rsidRPr="00B82EFA" w:rsidRDefault="00B82EFA" w:rsidP="00B82EFA">
      <w:pPr>
        <w:rPr>
          <w:rFonts w:cs="Lucida Sans"/>
          <w:b/>
          <w:color w:val="000000"/>
        </w:rPr>
      </w:pPr>
      <w:r>
        <w:rPr>
          <w:b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DB6" w:rsidRPr="00AB7C8D" w:rsidTr="00F04273">
        <w:tc>
          <w:tcPr>
            <w:tcW w:w="9628" w:type="dxa"/>
            <w:shd w:val="clear" w:color="auto" w:fill="FFC000"/>
          </w:tcPr>
          <w:p w:rsidR="00D72DB6" w:rsidRPr="00703456" w:rsidRDefault="004F1E70" w:rsidP="00A07E65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Aktier og obligationer</w:t>
            </w:r>
          </w:p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color w:val="00163B" w:themeColor="accent1"/>
              </w:rPr>
            </w:pPr>
            <w:r>
              <w:rPr>
                <w:b/>
                <w:color w:val="00163B" w:themeColor="accent1"/>
              </w:rPr>
              <w:t>Tidsmæssig</w:t>
            </w:r>
            <w:r w:rsidRPr="00AB7C8D">
              <w:rPr>
                <w:b/>
                <w:color w:val="00163B" w:themeColor="accent1"/>
              </w:rPr>
              <w:t xml:space="preserve"> placering: </w:t>
            </w:r>
            <w:r w:rsidRPr="00D72DB6">
              <w:rPr>
                <w:color w:val="00163B" w:themeColor="accent1"/>
              </w:rPr>
              <w:t>3.</w:t>
            </w:r>
            <w:r>
              <w:rPr>
                <w:color w:val="00163B" w:themeColor="accent1"/>
              </w:rPr>
              <w:t xml:space="preserve"> </w:t>
            </w:r>
            <w:r w:rsidRPr="00AB7C8D">
              <w:rPr>
                <w:color w:val="00163B" w:themeColor="accent1"/>
              </w:rPr>
              <w:t>semester</w:t>
            </w:r>
            <w:r w:rsidRPr="00AB7C8D">
              <w:rPr>
                <w:b/>
                <w:color w:val="00163B" w:themeColor="accent1"/>
              </w:rPr>
              <w:t xml:space="preserve"> </w:t>
            </w: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>Omfang:</w:t>
            </w:r>
            <w:r>
              <w:rPr>
                <w:color w:val="00163B" w:themeColor="accent1"/>
              </w:rPr>
              <w:t xml:space="preserve"> 5</w:t>
            </w:r>
            <w:r w:rsidRPr="00AB7C8D">
              <w:rPr>
                <w:color w:val="00163B" w:themeColor="accent1"/>
              </w:rPr>
              <w:t xml:space="preserve"> ECTS</w:t>
            </w: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 xml:space="preserve">Indhold: </w:t>
            </w:r>
          </w:p>
          <w:p w:rsidR="004F1E70" w:rsidRPr="00F33EA8" w:rsidRDefault="004F1E70" w:rsidP="004F1E70">
            <w:pPr>
              <w:rPr>
                <w:rFonts w:cs="Lucida Sans"/>
              </w:rPr>
            </w:pPr>
            <w:r w:rsidRPr="00F33EA8">
              <w:rPr>
                <w:rFonts w:cs="Lucida Sans"/>
              </w:rPr>
              <w:t>Målet er, at den studerende får en dybere viden om aktier og obligation og kan anvende denne viden i forbindelse med rådgivning af kunder. Desuden skal den studerende på baggrund af egne udregnede nøgletal og analyser kunne identificere optimale investeringsbeslutninger.</w:t>
            </w:r>
          </w:p>
          <w:p w:rsidR="00D72DB6" w:rsidRPr="00A75421" w:rsidRDefault="00D72DB6" w:rsidP="004F1E70">
            <w:pPr>
              <w:rPr>
                <w:rFonts w:cs="Arial"/>
                <w:color w:val="000000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>Læringsmål:</w:t>
            </w:r>
          </w:p>
          <w:p w:rsidR="00D72DB6" w:rsidRPr="00AB7C8D" w:rsidRDefault="00D72DB6" w:rsidP="00A07E65">
            <w:pPr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Viden</w:t>
            </w:r>
          </w:p>
          <w:p w:rsidR="00D72DB6" w:rsidRPr="00AB7C8D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har viden om: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Handel med aktier og obligationer i praksis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De forskellige obligations- og aktietyper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De mest brugte afkast- og risikobegreber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Aktieværdiansættelsesmodeller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Rentedannelse og rentestrukturteori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De mest almindelige nøgletal til udvælgelse af aktier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Gearing af investeringer i teori og praksis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Fundamentalanalyse og teknisk analyse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Moderne porteføljeteori, diversifikation og risikopræmier</w:t>
            </w:r>
          </w:p>
          <w:p w:rsidR="00D72DB6" w:rsidRPr="004F1E70" w:rsidRDefault="004F1E70" w:rsidP="004F1E70">
            <w:pPr>
              <w:pStyle w:val="Listeafsnit"/>
              <w:numPr>
                <w:ilvl w:val="0"/>
                <w:numId w:val="36"/>
              </w:numPr>
              <w:rPr>
                <w:b/>
                <w:color w:val="00163B" w:themeColor="accent1"/>
              </w:rPr>
            </w:pPr>
            <w:r w:rsidRPr="004F1E70">
              <w:rPr>
                <w:rFonts w:cs="Lucida Sans"/>
              </w:rPr>
              <w:t>Beskatning af aktier og obligationer</w:t>
            </w:r>
          </w:p>
          <w:p w:rsidR="004F1E70" w:rsidRDefault="004F1E70" w:rsidP="00A07E65">
            <w:pPr>
              <w:spacing w:line="276" w:lineRule="auto"/>
              <w:rPr>
                <w:bCs/>
                <w:i/>
                <w:color w:val="00163B" w:themeColor="accent1"/>
              </w:rPr>
            </w:pPr>
          </w:p>
          <w:p w:rsidR="00D72DB6" w:rsidRPr="00AB7C8D" w:rsidRDefault="00D72DB6" w:rsidP="00A07E65">
            <w:pPr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Færdigheder</w:t>
            </w:r>
          </w:p>
          <w:p w:rsidR="00D72DB6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kan: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Undersøge ud fra nøgletal om specifikke aktier er over- eller undervurderet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Foretage afkast- og risiko beregninger for aktier og obligationer</w:t>
            </w:r>
          </w:p>
          <w:p w:rsidR="004F1E70" w:rsidRPr="00F33EA8" w:rsidRDefault="004F1E70" w:rsidP="004F1E70">
            <w:pPr>
              <w:numPr>
                <w:ilvl w:val="0"/>
                <w:numId w:val="36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Foretage beregninger af hvordan gearing påvirker det forventede afkast og risiko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Foretage teknisk analyse af en aktie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Udarbejde et investeringsforslag til en kunde</w:t>
            </w:r>
          </w:p>
          <w:p w:rsidR="00D72DB6" w:rsidRPr="00AB7C8D" w:rsidRDefault="00D72DB6" w:rsidP="004F1E70">
            <w:pPr>
              <w:pStyle w:val="Listeafsnit"/>
              <w:rPr>
                <w:color w:val="00163B" w:themeColor="accent1"/>
              </w:rPr>
            </w:pPr>
          </w:p>
          <w:p w:rsidR="00D72DB6" w:rsidRPr="00AB7C8D" w:rsidRDefault="00D72DB6" w:rsidP="00B82EFA">
            <w:pPr>
              <w:spacing w:line="276" w:lineRule="auto"/>
              <w:rPr>
                <w:i/>
                <w:color w:val="00163B" w:themeColor="accent1"/>
              </w:rPr>
            </w:pPr>
            <w:r w:rsidRPr="00AB7C8D">
              <w:rPr>
                <w:bCs/>
                <w:i/>
                <w:color w:val="00163B" w:themeColor="accent1"/>
              </w:rPr>
              <w:t>Kompetencer</w:t>
            </w:r>
            <w:r w:rsidRPr="00AB7C8D">
              <w:rPr>
                <w:b/>
                <w:color w:val="00163B" w:themeColor="accent1"/>
              </w:rPr>
              <w:t> </w:t>
            </w:r>
            <w:r w:rsidRPr="00AB7C8D">
              <w:rPr>
                <w:b/>
                <w:color w:val="00163B" w:themeColor="accent1"/>
              </w:rPr>
              <w:tab/>
            </w:r>
          </w:p>
          <w:p w:rsidR="00D72DB6" w:rsidRDefault="00D72DB6" w:rsidP="00A07E65">
            <w:pPr>
              <w:spacing w:line="276" w:lineRule="auto"/>
              <w:rPr>
                <w:color w:val="00163B" w:themeColor="accent1"/>
              </w:rPr>
            </w:pPr>
            <w:r w:rsidRPr="00AB7C8D">
              <w:rPr>
                <w:color w:val="00163B" w:themeColor="accent1"/>
              </w:rPr>
              <w:t>Den studerende kan: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Selvstændigt at kunne rådgive kunder i den finansielle sektor om aktier og obligationer med afsæt i offentlig tilgængelig information, samt egne afkast- og risikoberegninger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At kunne vurdere om en akties pris er over- eller undervurderet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At kunne vurdere om det er muligt at slå markedet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At kunne præsentere optimale investeringsforslag til kunder</w:t>
            </w:r>
          </w:p>
          <w:p w:rsidR="004F1E70" w:rsidRPr="00F33EA8" w:rsidRDefault="004F1E70" w:rsidP="004F1E70">
            <w:pPr>
              <w:numPr>
                <w:ilvl w:val="0"/>
                <w:numId w:val="37"/>
              </w:numPr>
              <w:rPr>
                <w:rFonts w:cs="Lucida Sans"/>
              </w:rPr>
            </w:pPr>
            <w:r w:rsidRPr="00F33EA8">
              <w:rPr>
                <w:rFonts w:cs="Lucida Sans"/>
              </w:rPr>
              <w:t>At kunne vurdere om det er optimalt at investere gennem en investeringsforening</w:t>
            </w:r>
          </w:p>
          <w:p w:rsidR="00D72DB6" w:rsidRPr="00902F05" w:rsidRDefault="00D72DB6" w:rsidP="004F1E70">
            <w:pPr>
              <w:pStyle w:val="Listeafsnit"/>
              <w:rPr>
                <w:color w:val="00163B" w:themeColor="accent1"/>
              </w:rPr>
            </w:pPr>
          </w:p>
        </w:tc>
      </w:tr>
      <w:tr w:rsidR="00D72DB6" w:rsidRPr="00AB7C8D" w:rsidTr="00F04273">
        <w:tc>
          <w:tcPr>
            <w:tcW w:w="9628" w:type="dxa"/>
          </w:tcPr>
          <w:p w:rsidR="00D72DB6" w:rsidRPr="00AB7C8D" w:rsidRDefault="00D72DB6" w:rsidP="00A07E65">
            <w:pPr>
              <w:spacing w:line="276" w:lineRule="auto"/>
              <w:rPr>
                <w:b/>
                <w:color w:val="00163B" w:themeColor="accent1"/>
              </w:rPr>
            </w:pPr>
            <w:r w:rsidRPr="00AB7C8D">
              <w:rPr>
                <w:b/>
                <w:color w:val="00163B" w:themeColor="accent1"/>
              </w:rPr>
              <w:t>Udprøves:</w:t>
            </w:r>
          </w:p>
          <w:p w:rsidR="00D72DB6" w:rsidRPr="00AB7C8D" w:rsidRDefault="00D72DB6" w:rsidP="00A07E65">
            <w:pPr>
              <w:pStyle w:val="Listeafsnit"/>
              <w:numPr>
                <w:ilvl w:val="0"/>
                <w:numId w:val="19"/>
              </w:numPr>
              <w:spacing w:line="276" w:lineRule="auto"/>
              <w:ind w:left="993"/>
              <w:rPr>
                <w:color w:val="00163B" w:themeColor="accent1"/>
              </w:rPr>
            </w:pPr>
            <w:r>
              <w:rPr>
                <w:color w:val="00163B" w:themeColor="accent1"/>
              </w:rPr>
              <w:t xml:space="preserve">3. semester: </w:t>
            </w:r>
            <w:r w:rsidR="004F1E70">
              <w:rPr>
                <w:color w:val="00163B" w:themeColor="accent1"/>
              </w:rPr>
              <w:t xml:space="preserve">Skriftlig individuel eksamen. </w:t>
            </w:r>
            <w:r>
              <w:rPr>
                <w:color w:val="00163B" w:themeColor="accent1"/>
              </w:rPr>
              <w:t xml:space="preserve">Se eksamenskataloget. </w:t>
            </w:r>
          </w:p>
        </w:tc>
      </w:tr>
    </w:tbl>
    <w:p w:rsidR="00E93124" w:rsidRPr="00D72DB6" w:rsidRDefault="00E93124" w:rsidP="00B82EFA">
      <w:pPr>
        <w:rPr>
          <w:color w:val="00163B" w:themeColor="accent1"/>
          <w:sz w:val="20"/>
        </w:rPr>
      </w:pPr>
    </w:p>
    <w:sectPr w:rsidR="00E93124" w:rsidRPr="00D72DB6" w:rsidSect="001A5F81">
      <w:headerReference w:type="default" r:id="rId10"/>
      <w:footerReference w:type="default" r:id="rId11"/>
      <w:footerReference w:type="first" r:id="rId12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FA" w:rsidRDefault="005A3EFA" w:rsidP="006F589D">
      <w:pPr>
        <w:spacing w:after="0" w:line="240" w:lineRule="auto"/>
      </w:pPr>
      <w:r>
        <w:separator/>
      </w:r>
    </w:p>
  </w:endnote>
  <w:endnote w:type="continuationSeparator" w:id="0">
    <w:p w:rsidR="005A3EFA" w:rsidRDefault="005A3EFA" w:rsidP="006F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4F" w:rsidRPr="00223776" w:rsidRDefault="0012244F" w:rsidP="00B44E6B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8046" wp14:editId="4C9FD339">
              <wp:simplePos x="0" y="0"/>
              <wp:positionH relativeFrom="column">
                <wp:posOffset>-466090</wp:posOffset>
              </wp:positionH>
              <wp:positionV relativeFrom="paragraph">
                <wp:posOffset>-14605</wp:posOffset>
              </wp:positionV>
              <wp:extent cx="5994400" cy="431800"/>
              <wp:effectExtent l="0" t="0" r="6350" b="635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2EFA" w:rsidRDefault="00B82EFA" w:rsidP="00B82EFA">
                          <w:pPr>
                            <w:pStyle w:val="Sidefod"/>
                          </w:pPr>
                          <w:r>
                            <w:t xml:space="preserve">Studieordningen for Finansøkonom </w:t>
                          </w:r>
                        </w:p>
                        <w:p w:rsidR="0012244F" w:rsidRDefault="001224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804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36.7pt;margin-top:-1.15pt;width:47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" stroked="f">
              <v:textbox>
                <w:txbxContent>
                  <w:p w:rsidR="00B82EFA" w:rsidRDefault="00B82EFA" w:rsidP="00B82EFA">
                    <w:pPr>
                      <w:pStyle w:val="Sidefod"/>
                    </w:pPr>
                    <w:r>
                      <w:t xml:space="preserve">Studieordningen for Finansøkonom </w:t>
                    </w:r>
                  </w:p>
                  <w:p w:rsidR="0012244F" w:rsidRDefault="0012244F"/>
                </w:txbxContent>
              </v:textbox>
            </v:shape>
          </w:pict>
        </mc:Fallback>
      </mc:AlternateContent>
    </w:r>
    <w:sdt>
      <w:sdtPr>
        <w:id w:val="73328322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44E6B">
              <w:rPr>
                <w:bCs/>
              </w:rPr>
              <w:fldChar w:fldCharType="begin"/>
            </w:r>
            <w:r w:rsidRPr="00B44E6B">
              <w:rPr>
                <w:bCs/>
              </w:rPr>
              <w:instrText>PAGE</w:instrText>
            </w:r>
            <w:r w:rsidRPr="00B44E6B">
              <w:rPr>
                <w:bCs/>
              </w:rPr>
              <w:fldChar w:fldCharType="separate"/>
            </w:r>
            <w:r w:rsidR="00F04273">
              <w:rPr>
                <w:bCs/>
                <w:noProof/>
              </w:rPr>
              <w:t>5</w:t>
            </w:r>
            <w:r w:rsidRPr="00B44E6B">
              <w:rPr>
                <w:bCs/>
              </w:rPr>
              <w:fldChar w:fldCharType="end"/>
            </w:r>
            <w:r w:rsidRPr="00B44E6B">
              <w:t xml:space="preserve"> af </w:t>
            </w:r>
            <w:r w:rsidRPr="00B44E6B">
              <w:rPr>
                <w:bCs/>
              </w:rPr>
              <w:fldChar w:fldCharType="begin"/>
            </w:r>
            <w:r w:rsidRPr="00B44E6B">
              <w:rPr>
                <w:bCs/>
              </w:rPr>
              <w:instrText>NUMPAGES</w:instrText>
            </w:r>
            <w:r w:rsidRPr="00B44E6B">
              <w:rPr>
                <w:bCs/>
              </w:rPr>
              <w:fldChar w:fldCharType="separate"/>
            </w:r>
            <w:r w:rsidR="00F04273">
              <w:rPr>
                <w:bCs/>
                <w:noProof/>
              </w:rPr>
              <w:t>5</w:t>
            </w:r>
            <w:r w:rsidRPr="00B44E6B">
              <w:rPr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FA" w:rsidRDefault="00B82EFA">
    <w:pPr>
      <w:pStyle w:val="Sidefod"/>
    </w:pPr>
    <w:r>
      <w:t xml:space="preserve">Studieordningen for Finansøkonom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FA" w:rsidRDefault="005A3EFA" w:rsidP="006F589D">
      <w:pPr>
        <w:spacing w:after="0" w:line="240" w:lineRule="auto"/>
      </w:pPr>
      <w:r>
        <w:separator/>
      </w:r>
    </w:p>
  </w:footnote>
  <w:footnote w:type="continuationSeparator" w:id="0">
    <w:p w:rsidR="005A3EFA" w:rsidRDefault="005A3EFA" w:rsidP="006F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4F" w:rsidRDefault="0012244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AED5428" wp14:editId="2DC27B18">
          <wp:simplePos x="0" y="0"/>
          <wp:positionH relativeFrom="margin">
            <wp:posOffset>4443730</wp:posOffset>
          </wp:positionH>
          <wp:positionV relativeFrom="margin">
            <wp:posOffset>-711200</wp:posOffset>
          </wp:positionV>
          <wp:extent cx="2082800" cy="373408"/>
          <wp:effectExtent l="0" t="0" r="0" b="762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Hbusines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373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4BC"/>
    <w:multiLevelType w:val="hybridMultilevel"/>
    <w:tmpl w:val="EAC8ADAC"/>
    <w:lvl w:ilvl="0" w:tplc="9456371E">
      <w:start w:val="2"/>
      <w:numFmt w:val="bullet"/>
      <w:lvlText w:val="-"/>
      <w:lvlJc w:val="left"/>
      <w:pPr>
        <w:ind w:left="420" w:hanging="360"/>
      </w:pPr>
      <w:rPr>
        <w:rFonts w:ascii="Gotham Light" w:eastAsia="Times New Roman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742D44"/>
    <w:multiLevelType w:val="hybridMultilevel"/>
    <w:tmpl w:val="A6BC2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2E2"/>
    <w:multiLevelType w:val="multilevel"/>
    <w:tmpl w:val="730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15E5"/>
    <w:multiLevelType w:val="hybridMultilevel"/>
    <w:tmpl w:val="4CEC4A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127D46"/>
    <w:multiLevelType w:val="hybridMultilevel"/>
    <w:tmpl w:val="9D02ED9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E1C69DF"/>
    <w:multiLevelType w:val="hybridMultilevel"/>
    <w:tmpl w:val="C7D248C2"/>
    <w:lvl w:ilvl="0" w:tplc="040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EE47F79"/>
    <w:multiLevelType w:val="hybridMultilevel"/>
    <w:tmpl w:val="483ED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267F4"/>
    <w:multiLevelType w:val="hybridMultilevel"/>
    <w:tmpl w:val="3A788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6C71"/>
    <w:multiLevelType w:val="hybridMultilevel"/>
    <w:tmpl w:val="8ADCA31A"/>
    <w:lvl w:ilvl="0" w:tplc="324A9D64">
      <w:start w:val="3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3B66D82"/>
    <w:multiLevelType w:val="hybridMultilevel"/>
    <w:tmpl w:val="662C40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004B8"/>
    <w:multiLevelType w:val="hybridMultilevel"/>
    <w:tmpl w:val="6478C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47CDD"/>
    <w:multiLevelType w:val="hybridMultilevel"/>
    <w:tmpl w:val="1ADEF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526E5"/>
    <w:multiLevelType w:val="hybridMultilevel"/>
    <w:tmpl w:val="AD18F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D2A10"/>
    <w:multiLevelType w:val="hybridMultilevel"/>
    <w:tmpl w:val="D0388F02"/>
    <w:lvl w:ilvl="0" w:tplc="E9CE2D3C">
      <w:start w:val="2"/>
      <w:numFmt w:val="bullet"/>
      <w:lvlText w:val="-"/>
      <w:lvlJc w:val="left"/>
      <w:pPr>
        <w:ind w:left="420" w:hanging="360"/>
      </w:pPr>
      <w:rPr>
        <w:rFonts w:ascii="Gotham Light" w:eastAsia="Times New Roman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83ACC"/>
    <w:multiLevelType w:val="hybridMultilevel"/>
    <w:tmpl w:val="A9F0F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83A6F"/>
    <w:multiLevelType w:val="hybridMultilevel"/>
    <w:tmpl w:val="F40C18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992D0B"/>
    <w:multiLevelType w:val="hybridMultilevel"/>
    <w:tmpl w:val="B2EA7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72614"/>
    <w:multiLevelType w:val="hybridMultilevel"/>
    <w:tmpl w:val="0BEE2A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575EC"/>
    <w:multiLevelType w:val="hybridMultilevel"/>
    <w:tmpl w:val="63E007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EC1579"/>
    <w:multiLevelType w:val="multilevel"/>
    <w:tmpl w:val="354E5C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AFA55DA"/>
    <w:multiLevelType w:val="hybridMultilevel"/>
    <w:tmpl w:val="C89C958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F5F7B"/>
    <w:multiLevelType w:val="hybridMultilevel"/>
    <w:tmpl w:val="A5CABE20"/>
    <w:lvl w:ilvl="0" w:tplc="E9CE2D3C">
      <w:start w:val="2"/>
      <w:numFmt w:val="bullet"/>
      <w:lvlText w:val="-"/>
      <w:lvlJc w:val="left"/>
      <w:pPr>
        <w:ind w:left="420" w:hanging="360"/>
      </w:pPr>
      <w:rPr>
        <w:rFonts w:ascii="Gotham Light" w:eastAsia="Times New Roman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F41CE2"/>
    <w:multiLevelType w:val="hybridMultilevel"/>
    <w:tmpl w:val="2D1A90D0"/>
    <w:lvl w:ilvl="0" w:tplc="A67C56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EC9E0034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  <w:sz w:val="18"/>
        <w:szCs w:val="18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9221D"/>
    <w:multiLevelType w:val="hybridMultilevel"/>
    <w:tmpl w:val="B9C2F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83EA1"/>
    <w:multiLevelType w:val="hybridMultilevel"/>
    <w:tmpl w:val="8B4C4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63F2D"/>
    <w:multiLevelType w:val="hybridMultilevel"/>
    <w:tmpl w:val="4F42FF74"/>
    <w:lvl w:ilvl="0" w:tplc="98B02F56">
      <w:start w:val="1"/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463F11C6"/>
    <w:multiLevelType w:val="hybridMultilevel"/>
    <w:tmpl w:val="A5B0D0C8"/>
    <w:lvl w:ilvl="0" w:tplc="040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4B3023D2"/>
    <w:multiLevelType w:val="hybridMultilevel"/>
    <w:tmpl w:val="B54E0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53B2"/>
    <w:multiLevelType w:val="hybridMultilevel"/>
    <w:tmpl w:val="91144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4CF"/>
    <w:multiLevelType w:val="hybridMultilevel"/>
    <w:tmpl w:val="906E63D6"/>
    <w:lvl w:ilvl="0" w:tplc="040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05F6F65"/>
    <w:multiLevelType w:val="hybridMultilevel"/>
    <w:tmpl w:val="48CC40BC"/>
    <w:lvl w:ilvl="0" w:tplc="ADCE5E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950CD"/>
    <w:multiLevelType w:val="multilevel"/>
    <w:tmpl w:val="354E5C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FA1EB3"/>
    <w:multiLevelType w:val="hybridMultilevel"/>
    <w:tmpl w:val="04604C24"/>
    <w:lvl w:ilvl="0" w:tplc="4DC27EE8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6C216A94"/>
    <w:multiLevelType w:val="hybridMultilevel"/>
    <w:tmpl w:val="929621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2639B"/>
    <w:multiLevelType w:val="hybridMultilevel"/>
    <w:tmpl w:val="14520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63DA0"/>
    <w:multiLevelType w:val="multilevel"/>
    <w:tmpl w:val="B35204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6">
    <w:nsid w:val="75A105B9"/>
    <w:multiLevelType w:val="hybridMultilevel"/>
    <w:tmpl w:val="92542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3"/>
  </w:num>
  <w:num w:numId="9">
    <w:abstractNumId w:val="31"/>
  </w:num>
  <w:num w:numId="10">
    <w:abstractNumId w:val="35"/>
  </w:num>
  <w:num w:numId="11">
    <w:abstractNumId w:val="14"/>
  </w:num>
  <w:num w:numId="12">
    <w:abstractNumId w:val="27"/>
  </w:num>
  <w:num w:numId="13">
    <w:abstractNumId w:val="8"/>
  </w:num>
  <w:num w:numId="14">
    <w:abstractNumId w:val="21"/>
  </w:num>
  <w:num w:numId="15">
    <w:abstractNumId w:val="13"/>
  </w:num>
  <w:num w:numId="16">
    <w:abstractNumId w:val="32"/>
  </w:num>
  <w:num w:numId="17">
    <w:abstractNumId w:val="26"/>
  </w:num>
  <w:num w:numId="18">
    <w:abstractNumId w:val="25"/>
  </w:num>
  <w:num w:numId="19">
    <w:abstractNumId w:val="29"/>
  </w:num>
  <w:num w:numId="20">
    <w:abstractNumId w:val="22"/>
  </w:num>
  <w:num w:numId="21">
    <w:abstractNumId w:val="2"/>
  </w:num>
  <w:num w:numId="22">
    <w:abstractNumId w:val="36"/>
  </w:num>
  <w:num w:numId="23">
    <w:abstractNumId w:val="10"/>
  </w:num>
  <w:num w:numId="24">
    <w:abstractNumId w:val="30"/>
  </w:num>
  <w:num w:numId="25">
    <w:abstractNumId w:val="28"/>
  </w:num>
  <w:num w:numId="26">
    <w:abstractNumId w:val="12"/>
  </w:num>
  <w:num w:numId="27">
    <w:abstractNumId w:val="34"/>
  </w:num>
  <w:num w:numId="28">
    <w:abstractNumId w:val="4"/>
  </w:num>
  <w:num w:numId="29">
    <w:abstractNumId w:val="23"/>
  </w:num>
  <w:num w:numId="30">
    <w:abstractNumId w:val="6"/>
  </w:num>
  <w:num w:numId="31">
    <w:abstractNumId w:val="24"/>
  </w:num>
  <w:num w:numId="32">
    <w:abstractNumId w:val="18"/>
  </w:num>
  <w:num w:numId="33">
    <w:abstractNumId w:val="15"/>
  </w:num>
  <w:num w:numId="34">
    <w:abstractNumId w:val="3"/>
  </w:num>
  <w:num w:numId="35">
    <w:abstractNumId w:val="17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4B"/>
    <w:rsid w:val="000074E2"/>
    <w:rsid w:val="00017472"/>
    <w:rsid w:val="00021DEB"/>
    <w:rsid w:val="00024772"/>
    <w:rsid w:val="00026371"/>
    <w:rsid w:val="00027652"/>
    <w:rsid w:val="000525ED"/>
    <w:rsid w:val="00075E28"/>
    <w:rsid w:val="00095EFE"/>
    <w:rsid w:val="000B4070"/>
    <w:rsid w:val="000B608C"/>
    <w:rsid w:val="000B72D5"/>
    <w:rsid w:val="000C4FEE"/>
    <w:rsid w:val="000D6CAF"/>
    <w:rsid w:val="000E0C21"/>
    <w:rsid w:val="000E3595"/>
    <w:rsid w:val="000E36E5"/>
    <w:rsid w:val="000F1964"/>
    <w:rsid w:val="00103F79"/>
    <w:rsid w:val="00112BEB"/>
    <w:rsid w:val="00113BA7"/>
    <w:rsid w:val="001155B9"/>
    <w:rsid w:val="0012244F"/>
    <w:rsid w:val="00122F07"/>
    <w:rsid w:val="00131F20"/>
    <w:rsid w:val="00140ADE"/>
    <w:rsid w:val="00164C4E"/>
    <w:rsid w:val="00180666"/>
    <w:rsid w:val="001815BA"/>
    <w:rsid w:val="00191DB1"/>
    <w:rsid w:val="001937BA"/>
    <w:rsid w:val="001965FF"/>
    <w:rsid w:val="001A5308"/>
    <w:rsid w:val="001A5F81"/>
    <w:rsid w:val="001D7BB7"/>
    <w:rsid w:val="001E1D37"/>
    <w:rsid w:val="001E4098"/>
    <w:rsid w:val="001E799D"/>
    <w:rsid w:val="001F3EA2"/>
    <w:rsid w:val="00210317"/>
    <w:rsid w:val="002104ED"/>
    <w:rsid w:val="00223776"/>
    <w:rsid w:val="002439E6"/>
    <w:rsid w:val="002467F7"/>
    <w:rsid w:val="00263A19"/>
    <w:rsid w:val="002652B1"/>
    <w:rsid w:val="00265BF0"/>
    <w:rsid w:val="002759B1"/>
    <w:rsid w:val="00296709"/>
    <w:rsid w:val="002B5243"/>
    <w:rsid w:val="002D7A9C"/>
    <w:rsid w:val="002F0105"/>
    <w:rsid w:val="002F2903"/>
    <w:rsid w:val="003002C6"/>
    <w:rsid w:val="003046B7"/>
    <w:rsid w:val="00305313"/>
    <w:rsid w:val="00310BFC"/>
    <w:rsid w:val="00313B11"/>
    <w:rsid w:val="00355681"/>
    <w:rsid w:val="003574D0"/>
    <w:rsid w:val="00357C12"/>
    <w:rsid w:val="003843F0"/>
    <w:rsid w:val="003B7697"/>
    <w:rsid w:val="003E17A1"/>
    <w:rsid w:val="003E354C"/>
    <w:rsid w:val="00414040"/>
    <w:rsid w:val="004157A6"/>
    <w:rsid w:val="00467DB3"/>
    <w:rsid w:val="00473A33"/>
    <w:rsid w:val="00477111"/>
    <w:rsid w:val="00477203"/>
    <w:rsid w:val="004A08EF"/>
    <w:rsid w:val="004A63A4"/>
    <w:rsid w:val="004A65BF"/>
    <w:rsid w:val="004D1D95"/>
    <w:rsid w:val="004E40B2"/>
    <w:rsid w:val="004F1E70"/>
    <w:rsid w:val="004F7759"/>
    <w:rsid w:val="005114C6"/>
    <w:rsid w:val="00511904"/>
    <w:rsid w:val="0051233C"/>
    <w:rsid w:val="00515011"/>
    <w:rsid w:val="005365B5"/>
    <w:rsid w:val="00554173"/>
    <w:rsid w:val="00575631"/>
    <w:rsid w:val="005A3EFA"/>
    <w:rsid w:val="005A7A8A"/>
    <w:rsid w:val="005D5462"/>
    <w:rsid w:val="005E5EF3"/>
    <w:rsid w:val="005F0E48"/>
    <w:rsid w:val="00600A1A"/>
    <w:rsid w:val="00612A46"/>
    <w:rsid w:val="00641224"/>
    <w:rsid w:val="0067546C"/>
    <w:rsid w:val="0068384F"/>
    <w:rsid w:val="006A03FC"/>
    <w:rsid w:val="006A4F15"/>
    <w:rsid w:val="006A6AD0"/>
    <w:rsid w:val="006D136A"/>
    <w:rsid w:val="006E1D61"/>
    <w:rsid w:val="006F589D"/>
    <w:rsid w:val="007343F2"/>
    <w:rsid w:val="00744BCD"/>
    <w:rsid w:val="00751D27"/>
    <w:rsid w:val="00754570"/>
    <w:rsid w:val="007570A9"/>
    <w:rsid w:val="00762787"/>
    <w:rsid w:val="007629F8"/>
    <w:rsid w:val="00775BBA"/>
    <w:rsid w:val="007871C7"/>
    <w:rsid w:val="007977A3"/>
    <w:rsid w:val="007C40D0"/>
    <w:rsid w:val="007D5152"/>
    <w:rsid w:val="007D6B8B"/>
    <w:rsid w:val="0085643F"/>
    <w:rsid w:val="00862EBE"/>
    <w:rsid w:val="00863C80"/>
    <w:rsid w:val="00875D38"/>
    <w:rsid w:val="0089007C"/>
    <w:rsid w:val="0089396A"/>
    <w:rsid w:val="008A1378"/>
    <w:rsid w:val="008A30A2"/>
    <w:rsid w:val="008A5EB5"/>
    <w:rsid w:val="008B7ED1"/>
    <w:rsid w:val="008F05BF"/>
    <w:rsid w:val="009352B0"/>
    <w:rsid w:val="0093554E"/>
    <w:rsid w:val="009455A9"/>
    <w:rsid w:val="00951E50"/>
    <w:rsid w:val="00970AAB"/>
    <w:rsid w:val="009766F1"/>
    <w:rsid w:val="009855FC"/>
    <w:rsid w:val="0099236E"/>
    <w:rsid w:val="009B0D20"/>
    <w:rsid w:val="009C054B"/>
    <w:rsid w:val="009C1BF6"/>
    <w:rsid w:val="009D1831"/>
    <w:rsid w:val="009F16F3"/>
    <w:rsid w:val="009F31A1"/>
    <w:rsid w:val="009F6439"/>
    <w:rsid w:val="00A07BE8"/>
    <w:rsid w:val="00A216E4"/>
    <w:rsid w:val="00A22448"/>
    <w:rsid w:val="00A26097"/>
    <w:rsid w:val="00A60973"/>
    <w:rsid w:val="00A708F4"/>
    <w:rsid w:val="00A72C7E"/>
    <w:rsid w:val="00A75421"/>
    <w:rsid w:val="00A76E1A"/>
    <w:rsid w:val="00A81055"/>
    <w:rsid w:val="00A85875"/>
    <w:rsid w:val="00AA6545"/>
    <w:rsid w:val="00AE655F"/>
    <w:rsid w:val="00B010B8"/>
    <w:rsid w:val="00B20287"/>
    <w:rsid w:val="00B37608"/>
    <w:rsid w:val="00B4165C"/>
    <w:rsid w:val="00B44E6B"/>
    <w:rsid w:val="00B613DA"/>
    <w:rsid w:val="00B770DF"/>
    <w:rsid w:val="00B771AC"/>
    <w:rsid w:val="00B82EFA"/>
    <w:rsid w:val="00B92EB9"/>
    <w:rsid w:val="00B956A4"/>
    <w:rsid w:val="00BB1132"/>
    <w:rsid w:val="00BB6BB4"/>
    <w:rsid w:val="00BB7129"/>
    <w:rsid w:val="00BD133C"/>
    <w:rsid w:val="00BD2A15"/>
    <w:rsid w:val="00BE2DFF"/>
    <w:rsid w:val="00BE400B"/>
    <w:rsid w:val="00C11B4D"/>
    <w:rsid w:val="00C166F7"/>
    <w:rsid w:val="00C219D2"/>
    <w:rsid w:val="00C41455"/>
    <w:rsid w:val="00C42502"/>
    <w:rsid w:val="00C42A63"/>
    <w:rsid w:val="00C5628D"/>
    <w:rsid w:val="00C71C0A"/>
    <w:rsid w:val="00CA6148"/>
    <w:rsid w:val="00CC5C37"/>
    <w:rsid w:val="00CD6E2C"/>
    <w:rsid w:val="00CD7132"/>
    <w:rsid w:val="00CE124B"/>
    <w:rsid w:val="00CE30AF"/>
    <w:rsid w:val="00CE7A59"/>
    <w:rsid w:val="00CF0F16"/>
    <w:rsid w:val="00CF70C5"/>
    <w:rsid w:val="00D22207"/>
    <w:rsid w:val="00D2735C"/>
    <w:rsid w:val="00D624E1"/>
    <w:rsid w:val="00D72DB6"/>
    <w:rsid w:val="00D83D28"/>
    <w:rsid w:val="00D90A2F"/>
    <w:rsid w:val="00DA1CC5"/>
    <w:rsid w:val="00DE2033"/>
    <w:rsid w:val="00DE283A"/>
    <w:rsid w:val="00DE5249"/>
    <w:rsid w:val="00DE64C3"/>
    <w:rsid w:val="00DF436C"/>
    <w:rsid w:val="00E14520"/>
    <w:rsid w:val="00E21714"/>
    <w:rsid w:val="00E2623F"/>
    <w:rsid w:val="00E26799"/>
    <w:rsid w:val="00E71697"/>
    <w:rsid w:val="00E73FC5"/>
    <w:rsid w:val="00E7642F"/>
    <w:rsid w:val="00E93124"/>
    <w:rsid w:val="00ED47D7"/>
    <w:rsid w:val="00ED6F61"/>
    <w:rsid w:val="00EF3837"/>
    <w:rsid w:val="00EF5E1E"/>
    <w:rsid w:val="00F04273"/>
    <w:rsid w:val="00F27D0A"/>
    <w:rsid w:val="00F308D7"/>
    <w:rsid w:val="00F754CA"/>
    <w:rsid w:val="00F83022"/>
    <w:rsid w:val="00F964AF"/>
    <w:rsid w:val="00FB4AF4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75B8F4C-ABA5-4BFA-90F5-1CEFCD0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FC"/>
    <w:rPr>
      <w:color w:val="00163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FBB040" w:themeColor="background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3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163B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163B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0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163B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A0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A1D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735C"/>
    <w:rPr>
      <w:rFonts w:asciiTheme="majorHAnsi" w:eastAsiaTheme="majorEastAsia" w:hAnsiTheme="majorHAnsi" w:cstheme="majorBidi"/>
      <w:bCs/>
      <w:caps/>
      <w:color w:val="FBB040" w:themeColor="background1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3124"/>
    <w:rPr>
      <w:rFonts w:asciiTheme="majorHAnsi" w:eastAsiaTheme="majorEastAsia" w:hAnsiTheme="majorHAnsi" w:cstheme="majorBidi"/>
      <w:b/>
      <w:bCs/>
      <w:color w:val="00163B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0317"/>
    <w:rPr>
      <w:rFonts w:asciiTheme="majorHAnsi" w:eastAsiaTheme="majorEastAsia" w:hAnsiTheme="majorHAnsi" w:cstheme="majorBidi"/>
      <w:b/>
      <w:bCs/>
      <w:color w:val="00163B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0317"/>
    <w:pPr>
      <w:numPr>
        <w:ilvl w:val="1"/>
      </w:numPr>
    </w:pPr>
    <w:rPr>
      <w:rFonts w:asciiTheme="majorHAnsi" w:eastAsiaTheme="majorEastAsia" w:hAnsiTheme="majorHAnsi" w:cstheme="majorBidi"/>
      <w:i/>
      <w:iCs/>
      <w:color w:val="00163B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0317"/>
    <w:rPr>
      <w:rFonts w:asciiTheme="majorHAnsi" w:eastAsiaTheme="majorEastAsia" w:hAnsiTheme="majorHAnsi" w:cstheme="majorBidi"/>
      <w:i/>
      <w:iCs/>
      <w:color w:val="00163B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10317"/>
    <w:rPr>
      <w:rFonts w:asciiTheme="majorHAnsi" w:eastAsiaTheme="majorEastAsia" w:hAnsiTheme="majorHAnsi" w:cstheme="majorBidi"/>
      <w:b/>
      <w:bCs/>
      <w:i/>
      <w:iCs/>
      <w:color w:val="00163B" w:themeColor="accent1"/>
    </w:rPr>
  </w:style>
  <w:style w:type="paragraph" w:styleId="Ingenafstand">
    <w:name w:val="No Spacing"/>
    <w:link w:val="IngenafstandTegn"/>
    <w:uiPriority w:val="1"/>
    <w:rsid w:val="001A5F81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A5F81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F81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B4070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CE7A59"/>
    <w:pPr>
      <w:pBdr>
        <w:bottom w:val="single" w:sz="8" w:space="4" w:color="0016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63B" w:themeColor="text1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E7A59"/>
    <w:rPr>
      <w:rFonts w:asciiTheme="majorHAnsi" w:eastAsiaTheme="majorEastAsia" w:hAnsiTheme="majorHAnsi" w:cstheme="majorBidi"/>
      <w:color w:val="00163B" w:themeColor="text1"/>
      <w:spacing w:val="5"/>
      <w:kern w:val="28"/>
      <w:sz w:val="56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6F5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589D"/>
  </w:style>
  <w:style w:type="paragraph" w:styleId="Sidefod">
    <w:name w:val="footer"/>
    <w:basedOn w:val="Normal"/>
    <w:link w:val="SidefodTegn"/>
    <w:uiPriority w:val="99"/>
    <w:unhideWhenUsed/>
    <w:rsid w:val="006F5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589D"/>
  </w:style>
  <w:style w:type="character" w:customStyle="1" w:styleId="Overskrift5Tegn">
    <w:name w:val="Overskrift 5 Tegn"/>
    <w:basedOn w:val="Standardskrifttypeiafsnit"/>
    <w:link w:val="Overskrift5"/>
    <w:uiPriority w:val="9"/>
    <w:rsid w:val="006A03FC"/>
    <w:rPr>
      <w:rFonts w:asciiTheme="majorHAnsi" w:eastAsiaTheme="majorEastAsia" w:hAnsiTheme="majorHAnsi" w:cstheme="majorBidi"/>
      <w:color w:val="000A1D" w:themeColor="accent1" w:themeShade="7F"/>
    </w:rPr>
  </w:style>
  <w:style w:type="paragraph" w:styleId="Overskrift">
    <w:name w:val="TOC Heading"/>
    <w:basedOn w:val="Overskrift1"/>
    <w:next w:val="Normal"/>
    <w:uiPriority w:val="39"/>
    <w:unhideWhenUsed/>
    <w:qFormat/>
    <w:rsid w:val="006A03FC"/>
    <w:pPr>
      <w:outlineLvl w:val="9"/>
    </w:pPr>
    <w:rPr>
      <w:color w:val="00102C" w:themeColor="accent1" w:themeShade="BF"/>
      <w:sz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A03F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A03F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6A03FC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6A03FC"/>
    <w:rPr>
      <w:color w:val="009490" w:themeColor="hyperlink"/>
      <w:u w:val="single"/>
    </w:rPr>
  </w:style>
  <w:style w:type="paragraph" w:styleId="Listeafsnit">
    <w:name w:val="List Paragraph"/>
    <w:basedOn w:val="Normal"/>
    <w:uiPriority w:val="34"/>
    <w:qFormat/>
    <w:rsid w:val="00E93124"/>
    <w:pPr>
      <w:ind w:left="720"/>
      <w:contextualSpacing/>
    </w:pPr>
  </w:style>
  <w:style w:type="paragraph" w:customStyle="1" w:styleId="TekstCphbusiness">
    <w:name w:val="Tekst Cphbusiness"/>
    <w:basedOn w:val="Normal"/>
    <w:qFormat/>
    <w:rsid w:val="0099236E"/>
    <w:pPr>
      <w:spacing w:before="120" w:after="120" w:line="240" w:lineRule="auto"/>
    </w:pPr>
    <w:rPr>
      <w:rFonts w:ascii="Gotham Light" w:eastAsia="Times New Roman" w:hAnsi="Gotham Light" w:cs="Times New Roman"/>
      <w:sz w:val="20"/>
      <w:lang w:eastAsia="da-DK"/>
    </w:rPr>
  </w:style>
  <w:style w:type="table" w:styleId="Tabel-Gitter">
    <w:name w:val="Table Grid"/>
    <w:basedOn w:val="Tabel-Normal"/>
    <w:rsid w:val="00E7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3-fremhvningsfarve2">
    <w:name w:val="Medium Grid 3 Accent 2"/>
    <w:basedOn w:val="Tabel-Normal"/>
    <w:uiPriority w:val="69"/>
    <w:rsid w:val="00E71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B040" w:themeColor="background1"/>
        <w:left w:val="single" w:sz="8" w:space="0" w:color="FBB040" w:themeColor="background1"/>
        <w:bottom w:val="single" w:sz="8" w:space="0" w:color="FBB040" w:themeColor="background1"/>
        <w:right w:val="single" w:sz="8" w:space="0" w:color="FBB040" w:themeColor="background1"/>
        <w:insideH w:val="single" w:sz="6" w:space="0" w:color="FBB040" w:themeColor="background1"/>
        <w:insideV w:val="single" w:sz="6" w:space="0" w:color="FBB040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BCF" w:themeFill="accent2" w:themeFillTint="3F"/>
    </w:tcPr>
    <w:tblStylePr w:type="firstRow">
      <w:rPr>
        <w:b/>
        <w:bCs/>
        <w:i w:val="0"/>
        <w:iCs w:val="0"/>
        <w:color w:val="FBB040" w:themeColor="background1"/>
      </w:rPr>
      <w:tblPr/>
      <w:tcPr>
        <w:tcBorders>
          <w:top w:val="single" w:sz="8" w:space="0" w:color="FBB040" w:themeColor="background1"/>
          <w:left w:val="single" w:sz="8" w:space="0" w:color="FBB040" w:themeColor="background1"/>
          <w:bottom w:val="single" w:sz="24" w:space="0" w:color="FBB040" w:themeColor="background1"/>
          <w:right w:val="single" w:sz="8" w:space="0" w:color="FBB040" w:themeColor="background1"/>
          <w:insideH w:val="nil"/>
          <w:insideV w:val="single" w:sz="8" w:space="0" w:color="FBB040" w:themeColor="background1"/>
        </w:tcBorders>
        <w:shd w:val="clear" w:color="auto" w:fill="FBB040" w:themeFill="accent2"/>
      </w:tcPr>
    </w:tblStylePr>
    <w:tblStylePr w:type="lastRow">
      <w:rPr>
        <w:b/>
        <w:bCs/>
        <w:i w:val="0"/>
        <w:iCs w:val="0"/>
        <w:color w:val="FBB040" w:themeColor="background1"/>
      </w:rPr>
      <w:tblPr/>
      <w:tcPr>
        <w:tcBorders>
          <w:top w:val="single" w:sz="24" w:space="0" w:color="FBB040" w:themeColor="background1"/>
          <w:left w:val="single" w:sz="8" w:space="0" w:color="FBB040" w:themeColor="background1"/>
          <w:bottom w:val="single" w:sz="8" w:space="0" w:color="FBB040" w:themeColor="background1"/>
          <w:right w:val="single" w:sz="8" w:space="0" w:color="FBB040" w:themeColor="background1"/>
          <w:insideH w:val="nil"/>
          <w:insideV w:val="single" w:sz="8" w:space="0" w:color="FBB040" w:themeColor="background1"/>
        </w:tcBorders>
        <w:shd w:val="clear" w:color="auto" w:fill="FBB040" w:themeFill="accent2"/>
      </w:tcPr>
    </w:tblStylePr>
    <w:tblStylePr w:type="firstCol">
      <w:rPr>
        <w:b/>
        <w:bCs/>
        <w:i w:val="0"/>
        <w:iCs w:val="0"/>
        <w:color w:val="FBB040" w:themeColor="background1"/>
      </w:rPr>
      <w:tblPr/>
      <w:tcPr>
        <w:tcBorders>
          <w:left w:val="single" w:sz="8" w:space="0" w:color="FBB040" w:themeColor="background1"/>
          <w:right w:val="single" w:sz="24" w:space="0" w:color="FBB040" w:themeColor="background1"/>
          <w:insideH w:val="nil"/>
          <w:insideV w:val="nil"/>
        </w:tcBorders>
        <w:shd w:val="clear" w:color="auto" w:fill="FBB040" w:themeFill="accent2"/>
      </w:tcPr>
    </w:tblStylePr>
    <w:tblStylePr w:type="lastCol">
      <w:rPr>
        <w:b/>
        <w:bCs/>
        <w:i w:val="0"/>
        <w:iCs w:val="0"/>
        <w:color w:val="FBB040" w:themeColor="background1"/>
      </w:rPr>
      <w:tblPr/>
      <w:tcPr>
        <w:tcBorders>
          <w:top w:val="nil"/>
          <w:left w:val="single" w:sz="24" w:space="0" w:color="FBB040" w:themeColor="background1"/>
          <w:bottom w:val="nil"/>
          <w:right w:val="nil"/>
          <w:insideH w:val="nil"/>
          <w:insideV w:val="nil"/>
        </w:tcBorders>
        <w:shd w:val="clear" w:color="auto" w:fill="FBB040" w:themeFill="accent2"/>
      </w:tcPr>
    </w:tblStylePr>
    <w:tblStylePr w:type="band1Vert">
      <w:tblPr/>
      <w:tcPr>
        <w:tcBorders>
          <w:top w:val="single" w:sz="8" w:space="0" w:color="FBB040" w:themeColor="background1"/>
          <w:left w:val="single" w:sz="8" w:space="0" w:color="FBB040" w:themeColor="background1"/>
          <w:bottom w:val="single" w:sz="8" w:space="0" w:color="FBB040" w:themeColor="background1"/>
          <w:right w:val="single" w:sz="8" w:space="0" w:color="FBB040" w:themeColor="background1"/>
          <w:insideH w:val="nil"/>
          <w:insideV w:val="nil"/>
        </w:tcBorders>
        <w:shd w:val="clear" w:color="auto" w:fill="FDD79F" w:themeFill="accent2" w:themeFillTint="7F"/>
      </w:tcPr>
    </w:tblStylePr>
    <w:tblStylePr w:type="band1Horz">
      <w:tblPr/>
      <w:tcPr>
        <w:tcBorders>
          <w:top w:val="single" w:sz="8" w:space="0" w:color="FBB040" w:themeColor="background1"/>
          <w:left w:val="single" w:sz="8" w:space="0" w:color="FBB040" w:themeColor="background1"/>
          <w:bottom w:val="single" w:sz="8" w:space="0" w:color="FBB040" w:themeColor="background1"/>
          <w:right w:val="single" w:sz="8" w:space="0" w:color="FBB040" w:themeColor="background1"/>
          <w:insideH w:val="single" w:sz="8" w:space="0" w:color="FBB040" w:themeColor="background1"/>
          <w:insideV w:val="single" w:sz="8" w:space="0" w:color="FBB040" w:themeColor="background1"/>
        </w:tcBorders>
        <w:shd w:val="clear" w:color="auto" w:fill="FDD79F" w:themeFill="accent2" w:themeFillTint="7F"/>
      </w:tcPr>
    </w:tblStylePr>
  </w:style>
  <w:style w:type="table" w:styleId="Lysskygge-fremhvningsfarve2">
    <w:name w:val="Light Shading Accent 2"/>
    <w:basedOn w:val="Tabel-Normal"/>
    <w:uiPriority w:val="60"/>
    <w:rsid w:val="00E71697"/>
    <w:pPr>
      <w:spacing w:after="0" w:line="240" w:lineRule="auto"/>
    </w:pPr>
    <w:rPr>
      <w:color w:val="E68B05" w:themeColor="accent2" w:themeShade="BF"/>
    </w:rPr>
    <w:tblPr>
      <w:tblStyleRowBandSize w:val="1"/>
      <w:tblStyleColBandSize w:val="1"/>
      <w:tblInd w:w="0" w:type="dxa"/>
      <w:tblBorders>
        <w:top w:val="single" w:sz="8" w:space="0" w:color="FBB040" w:themeColor="accent2"/>
        <w:bottom w:val="single" w:sz="8" w:space="0" w:color="FBB0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2"/>
          <w:left w:val="nil"/>
          <w:bottom w:val="single" w:sz="8" w:space="0" w:color="FBB0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040" w:themeColor="accent2"/>
          <w:left w:val="nil"/>
          <w:bottom w:val="single" w:sz="8" w:space="0" w:color="FBB0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F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4F775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775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7759"/>
    <w:rPr>
      <w:color w:val="00163B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775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7759"/>
    <w:rPr>
      <w:b/>
      <w:bCs/>
      <w:color w:val="00163B"/>
      <w:sz w:val="20"/>
      <w:szCs w:val="20"/>
    </w:rPr>
  </w:style>
  <w:style w:type="paragraph" w:customStyle="1" w:styleId="Default">
    <w:name w:val="Default"/>
    <w:rsid w:val="00D72DB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Cphbusiness">
      <a:dk1>
        <a:srgbClr val="00163B"/>
      </a:dk1>
      <a:lt1>
        <a:srgbClr val="FBB040"/>
      </a:lt1>
      <a:dk2>
        <a:srgbClr val="00163B"/>
      </a:dk2>
      <a:lt2>
        <a:srgbClr val="FBB040"/>
      </a:lt2>
      <a:accent1>
        <a:srgbClr val="00163B"/>
      </a:accent1>
      <a:accent2>
        <a:srgbClr val="FBB040"/>
      </a:accent2>
      <a:accent3>
        <a:srgbClr val="385C7F"/>
      </a:accent3>
      <a:accent4>
        <a:srgbClr val="009490"/>
      </a:accent4>
      <a:accent5>
        <a:srgbClr val="3D8EB7"/>
      </a:accent5>
      <a:accent6>
        <a:srgbClr val="5D1145"/>
      </a:accent6>
      <a:hlink>
        <a:srgbClr val="009490"/>
      </a:hlink>
      <a:folHlink>
        <a:srgbClr val="5D1145"/>
      </a:folHlink>
    </a:clrScheme>
    <a:fontScheme name="Cphbusines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Finansøkonom, AK gældende bekendtgørelse.
AP Graduate in Financial Management jf. gældende bekendtgørelse.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F1522-1185-4A9C-A3DC-8E23B098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Valgfagskatalog Finansøkonom efterår 2017</vt:lpstr>
    </vt:vector>
  </TitlesOfParts>
  <Company>CPH Business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Valgfagskatalog Finansøkonom efterår 2017 - Bornholm</dc:title>
  <dc:creator>Malene Fischer de Bruin</dc:creator>
  <cp:lastModifiedBy>Birgitte Abrahamson (BIAB - Studieadministrativ leder - Cphbusiness)</cp:lastModifiedBy>
  <cp:revision>2</cp:revision>
  <cp:lastPrinted>2014-04-01T12:11:00Z</cp:lastPrinted>
  <dcterms:created xsi:type="dcterms:W3CDTF">2017-07-04T07:51:00Z</dcterms:created>
  <dcterms:modified xsi:type="dcterms:W3CDTF">2017-07-04T07:51:00Z</dcterms:modified>
</cp:coreProperties>
</file>